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jc w:val="both"/>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jc w:val="both"/>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jc w:val="both"/>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jc w:val="both"/>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jc w:val="both"/>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jc w:val="both"/>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jc w:val="both"/>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jc w:val="both"/>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jc w:val="both"/>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jc w:val="both"/>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jc w:val="both"/>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jc w:val="both"/>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jc w:val="both"/>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0syffGtqymDLioAykZ4bMsSwiA==">AMUW2mX0Xv/juxoIBLJYDRnKtz1Ntyn2DOS/1BjoTNRyyieTkBzrMUX4+GdyzI31gNeqHqnr0svk+GVOs0BpaMXh/ImzWG8UznhJsk7zfgxzIhN3RFMgChIHgX7A9fxE8OULVheM4zwr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